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2A" w:rsidRPr="00ED37E4" w:rsidRDefault="009B3456" w:rsidP="00ED37E4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3</w:t>
      </w:r>
      <w:bookmarkStart w:id="0" w:name="_GoBack"/>
      <w:bookmarkEnd w:id="0"/>
    </w:p>
    <w:p w:rsidR="005F4C2A" w:rsidRPr="00ED37E4" w:rsidRDefault="005F4C2A" w:rsidP="00ED37E4">
      <w:pPr>
        <w:spacing w:line="276" w:lineRule="auto"/>
        <w:rPr>
          <w:color w:val="000000" w:themeColor="text1"/>
          <w:sz w:val="24"/>
          <w:szCs w:val="24"/>
        </w:rPr>
      </w:pPr>
    </w:p>
    <w:p w:rsidR="00ED37E4" w:rsidRPr="00ED37E4" w:rsidRDefault="00ED37E4" w:rsidP="00ED37E4">
      <w:pPr>
        <w:spacing w:after="200" w:line="276" w:lineRule="auto"/>
        <w:rPr>
          <w:b/>
          <w:color w:val="000000" w:themeColor="text1"/>
          <w:sz w:val="24"/>
          <w:szCs w:val="24"/>
        </w:rPr>
      </w:pPr>
      <w:r w:rsidRPr="00ED37E4">
        <w:rPr>
          <w:b/>
          <w:color w:val="000000" w:themeColor="text1"/>
          <w:sz w:val="24"/>
          <w:szCs w:val="24"/>
        </w:rPr>
        <w:t>П</w:t>
      </w:r>
      <w:r w:rsidR="00671CE3" w:rsidRPr="00ED37E4">
        <w:rPr>
          <w:b/>
          <w:color w:val="000000" w:themeColor="text1"/>
          <w:sz w:val="24"/>
          <w:szCs w:val="24"/>
        </w:rPr>
        <w:t xml:space="preserve">оложение </w:t>
      </w:r>
    </w:p>
    <w:p w:rsidR="00A02D45" w:rsidRPr="00ED37E4" w:rsidRDefault="00671CE3" w:rsidP="00ED37E4">
      <w:pPr>
        <w:spacing w:after="200" w:line="276" w:lineRule="auto"/>
        <w:rPr>
          <w:b/>
          <w:color w:val="000000" w:themeColor="text1"/>
          <w:sz w:val="24"/>
          <w:szCs w:val="24"/>
        </w:rPr>
      </w:pPr>
      <w:r w:rsidRPr="00ED37E4">
        <w:rPr>
          <w:b/>
          <w:color w:val="000000" w:themeColor="text1"/>
          <w:sz w:val="24"/>
          <w:szCs w:val="24"/>
        </w:rPr>
        <w:t xml:space="preserve">о порядке уведомления руководителя МОБУ СОШ № 30 о фактах </w:t>
      </w:r>
      <w:r w:rsidR="00A02D45" w:rsidRPr="00ED37E4">
        <w:rPr>
          <w:b/>
          <w:color w:val="000000" w:themeColor="text1"/>
          <w:sz w:val="24"/>
          <w:szCs w:val="24"/>
        </w:rPr>
        <w:t>обращения в целях склонения к совершению коррупционных правонарушений</w:t>
      </w:r>
    </w:p>
    <w:p w:rsidR="005F4C2A" w:rsidRPr="00ED37E4" w:rsidRDefault="00ED37E4" w:rsidP="00ED37E4">
      <w:pPr>
        <w:pStyle w:val="a5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  <w:sz w:val="24"/>
          <w:szCs w:val="24"/>
        </w:rPr>
      </w:pPr>
      <w:r w:rsidRPr="00ED37E4">
        <w:rPr>
          <w:b/>
          <w:color w:val="000000" w:themeColor="text1"/>
          <w:sz w:val="24"/>
          <w:szCs w:val="24"/>
        </w:rPr>
        <w:t>Общие положения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color w:val="000000" w:themeColor="text1"/>
          <w:sz w:val="24"/>
          <w:szCs w:val="24"/>
        </w:rP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A02D45" w:rsidRPr="00ED37E4">
        <w:rPr>
          <w:color w:val="000000" w:themeColor="text1"/>
          <w:sz w:val="24"/>
          <w:szCs w:val="24"/>
        </w:rPr>
        <w:t>МОБУ СОШ № 30 (далее – Школы)</w:t>
      </w:r>
      <w:r w:rsidRPr="00ED37E4">
        <w:rPr>
          <w:color w:val="000000" w:themeColor="text1"/>
          <w:sz w:val="24"/>
          <w:szCs w:val="24"/>
        </w:rPr>
        <w:t xml:space="preserve"> и других локальных актов </w:t>
      </w:r>
      <w:r w:rsidR="00A02D45" w:rsidRPr="00ED37E4">
        <w:rPr>
          <w:color w:val="000000" w:themeColor="text1"/>
          <w:sz w:val="24"/>
          <w:szCs w:val="24"/>
        </w:rPr>
        <w:t>Школы.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i/>
          <w:color w:val="000000" w:themeColor="text1"/>
          <w:sz w:val="24"/>
          <w:szCs w:val="24"/>
        </w:rPr>
      </w:pPr>
      <w:r w:rsidRPr="00ED37E4">
        <w:rPr>
          <w:color w:val="000000" w:themeColor="text1"/>
          <w:sz w:val="24"/>
          <w:szCs w:val="24"/>
        </w:rPr>
        <w:t xml:space="preserve">1.2. Настоящее Положение устанавливает порядок уведомления руководителя </w:t>
      </w:r>
      <w:r w:rsidR="00A02D45" w:rsidRPr="00ED37E4">
        <w:rPr>
          <w:color w:val="000000" w:themeColor="text1"/>
          <w:sz w:val="24"/>
          <w:szCs w:val="24"/>
        </w:rPr>
        <w:t>МОБУ СОШ № 30</w:t>
      </w:r>
      <w:r w:rsidRPr="00ED37E4">
        <w:rPr>
          <w:color w:val="000000" w:themeColor="text1"/>
          <w:sz w:val="24"/>
          <w:szCs w:val="24"/>
        </w:rPr>
        <w:t>,</w:t>
      </w:r>
      <w:r w:rsidRPr="00ED37E4">
        <w:rPr>
          <w:i/>
          <w:color w:val="000000" w:themeColor="text1"/>
          <w:sz w:val="24"/>
          <w:szCs w:val="24"/>
        </w:rPr>
        <w:t xml:space="preserve"> </w:t>
      </w:r>
      <w:r w:rsidRPr="00ED37E4">
        <w:rPr>
          <w:color w:val="000000" w:themeColor="text1"/>
          <w:sz w:val="24"/>
          <w:szCs w:val="24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color w:val="000000" w:themeColor="text1"/>
          <w:sz w:val="24"/>
          <w:szCs w:val="24"/>
        </w:rPr>
        <w:t xml:space="preserve">1.3. Действие настоящего Положения распространяется на всех работников </w:t>
      </w:r>
      <w:r w:rsidR="00A02D45" w:rsidRPr="00ED37E4">
        <w:rPr>
          <w:color w:val="000000" w:themeColor="text1"/>
          <w:sz w:val="24"/>
          <w:szCs w:val="24"/>
        </w:rPr>
        <w:t>Школы.</w:t>
      </w:r>
      <w:r w:rsidRPr="00ED37E4">
        <w:rPr>
          <w:color w:val="000000" w:themeColor="text1"/>
          <w:sz w:val="24"/>
          <w:szCs w:val="24"/>
        </w:rPr>
        <w:t xml:space="preserve"> 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color w:val="000000" w:themeColor="text1"/>
          <w:sz w:val="24"/>
          <w:szCs w:val="24"/>
        </w:rPr>
        <w:t xml:space="preserve">1.4. Работник </w:t>
      </w:r>
      <w:r w:rsidR="00A02D45" w:rsidRPr="00ED37E4">
        <w:rPr>
          <w:color w:val="000000" w:themeColor="text1"/>
          <w:sz w:val="24"/>
          <w:szCs w:val="24"/>
        </w:rPr>
        <w:t>Школы</w:t>
      </w:r>
      <w:r w:rsidRPr="00ED37E4">
        <w:rPr>
          <w:color w:val="000000" w:themeColor="text1"/>
          <w:sz w:val="24"/>
          <w:szCs w:val="24"/>
        </w:rPr>
        <w:t>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5F4C2A" w:rsidRPr="00ED37E4" w:rsidRDefault="005F4C2A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F4C2A" w:rsidRPr="00ED37E4" w:rsidRDefault="00ED37E4" w:rsidP="00ED37E4">
      <w:pPr>
        <w:spacing w:line="276" w:lineRule="auto"/>
        <w:ind w:firstLine="709"/>
        <w:rPr>
          <w:b/>
          <w:color w:val="000000" w:themeColor="text1"/>
          <w:sz w:val="24"/>
          <w:szCs w:val="24"/>
        </w:rPr>
      </w:pPr>
      <w:r w:rsidRPr="00ED37E4">
        <w:rPr>
          <w:b/>
          <w:color w:val="000000" w:themeColor="text1"/>
          <w:sz w:val="24"/>
          <w:szCs w:val="24"/>
        </w:rPr>
        <w:t xml:space="preserve">2. Порядок уведомления руководителя о фактах обращения в целях склонения работника </w:t>
      </w:r>
      <w:r w:rsidR="00A02D45" w:rsidRPr="00ED37E4">
        <w:rPr>
          <w:b/>
          <w:color w:val="000000" w:themeColor="text1"/>
          <w:sz w:val="24"/>
          <w:szCs w:val="24"/>
        </w:rPr>
        <w:t xml:space="preserve">Школы </w:t>
      </w:r>
      <w:r w:rsidRPr="00ED37E4">
        <w:rPr>
          <w:b/>
          <w:color w:val="000000" w:themeColor="text1"/>
          <w:sz w:val="24"/>
          <w:szCs w:val="24"/>
        </w:rPr>
        <w:t xml:space="preserve"> к совершению коррупционных правонарушений</w:t>
      </w:r>
    </w:p>
    <w:p w:rsidR="005F4C2A" w:rsidRPr="00ED37E4" w:rsidRDefault="005F4C2A" w:rsidP="00ED37E4">
      <w:pPr>
        <w:pStyle w:val="Default"/>
        <w:spacing w:line="276" w:lineRule="auto"/>
        <w:ind w:firstLine="709"/>
        <w:jc w:val="center"/>
        <w:rPr>
          <w:b/>
          <w:color w:val="000000" w:themeColor="text1"/>
          <w:szCs w:val="24"/>
        </w:rPr>
      </w:pP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2.1. Работник </w:t>
      </w:r>
      <w:r w:rsidR="00A02D45" w:rsidRPr="00ED37E4">
        <w:rPr>
          <w:color w:val="000000" w:themeColor="text1"/>
          <w:szCs w:val="24"/>
        </w:rPr>
        <w:t>Школы</w:t>
      </w:r>
      <w:r w:rsidRPr="00ED37E4">
        <w:rPr>
          <w:color w:val="000000" w:themeColor="text1"/>
          <w:szCs w:val="24"/>
        </w:rPr>
        <w:t xml:space="preserve"> обязан уведомить руководителя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2.2. В случае если работник </w:t>
      </w:r>
      <w:r w:rsidR="00A02D45" w:rsidRPr="00ED37E4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 находится не при исполнении трудовых обязанностей  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оформить письменное уведомление.</w:t>
      </w: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2.3. В уведомлении указываются следующие сведения: </w:t>
      </w:r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D37E4">
        <w:rPr>
          <w:rFonts w:ascii="Times New Roman" w:hAnsi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lastRenderedPageBreak/>
        <w:t>дата и место произошедшего склонения к правонарушению;</w:t>
      </w:r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:rsidR="005F4C2A" w:rsidRPr="00ED37E4" w:rsidRDefault="00ED37E4" w:rsidP="00ED37E4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5F4C2A" w:rsidRPr="00ED37E4" w:rsidRDefault="00ED37E4" w:rsidP="00ED37E4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ED37E4">
        <w:rPr>
          <w:color w:val="000000" w:themeColor="text1"/>
          <w:szCs w:val="24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ED37E4">
        <w:rPr>
          <w:color w:val="000000" w:themeColor="text1"/>
          <w:szCs w:val="24"/>
        </w:rPr>
        <w:t xml:space="preserve">, если указанная информация была направлена уведомителем в соответствующие органы; </w:t>
      </w:r>
    </w:p>
    <w:p w:rsidR="005F4C2A" w:rsidRPr="00ED37E4" w:rsidRDefault="00ED37E4" w:rsidP="00ED37E4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дата подачи уведомления и личная подпись уведомителя. </w:t>
      </w: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A02D45" w:rsidRPr="00ED37E4">
        <w:rPr>
          <w:color w:val="000000" w:themeColor="text1"/>
          <w:szCs w:val="24"/>
        </w:rPr>
        <w:t>Школы</w:t>
      </w:r>
      <w:r w:rsidRPr="00ED37E4">
        <w:rPr>
          <w:color w:val="000000" w:themeColor="text1"/>
          <w:szCs w:val="24"/>
        </w:rPr>
        <w:t xml:space="preserve"> к совершению коррупционных правонарушений.</w:t>
      </w: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2.5. Работник, которому стало известно о факте обращения к другим работникам </w:t>
      </w:r>
      <w:r w:rsidR="00A02D45" w:rsidRPr="00ED37E4">
        <w:rPr>
          <w:color w:val="000000" w:themeColor="text1"/>
          <w:szCs w:val="24"/>
        </w:rPr>
        <w:t xml:space="preserve">Школы </w:t>
      </w:r>
      <w:r w:rsidRPr="00ED37E4">
        <w:rPr>
          <w:color w:val="000000" w:themeColor="text1"/>
          <w:szCs w:val="24"/>
        </w:rPr>
        <w:t>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Положением.</w:t>
      </w:r>
    </w:p>
    <w:p w:rsidR="005F4C2A" w:rsidRPr="00ED37E4" w:rsidRDefault="005F4C2A" w:rsidP="00ED37E4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5F4C2A" w:rsidRPr="00ED37E4" w:rsidRDefault="005F4C2A" w:rsidP="00ED37E4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F4C2A" w:rsidRPr="00ED37E4" w:rsidRDefault="00ED37E4" w:rsidP="00ED37E4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b/>
          <w:color w:val="000000" w:themeColor="text1"/>
          <w:sz w:val="24"/>
          <w:szCs w:val="24"/>
        </w:rPr>
        <w:t>3. Порядок регистрации уведомлений</w:t>
      </w:r>
    </w:p>
    <w:p w:rsidR="005F4C2A" w:rsidRPr="00ED37E4" w:rsidRDefault="005F4C2A" w:rsidP="00ED37E4">
      <w:pPr>
        <w:pStyle w:val="Default"/>
        <w:spacing w:line="276" w:lineRule="auto"/>
        <w:ind w:firstLine="709"/>
        <w:jc w:val="both"/>
        <w:rPr>
          <w:i/>
          <w:color w:val="000000" w:themeColor="text1"/>
          <w:szCs w:val="24"/>
        </w:rPr>
      </w:pP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3.1. Уведомление работника </w:t>
      </w:r>
      <w:r w:rsidR="00A02D45" w:rsidRPr="00ED37E4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 подлежит обязательной регистрации.</w:t>
      </w:r>
    </w:p>
    <w:p w:rsidR="00ED37E4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правонарушений.  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Уведомление регистрируется в день поступления по почте либо представления курьером. В случае представления уведомления работником Школы лично регистрация производится незамедлительно в его присутствии. 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Копия поступившего уведомления с регистрационным номером, датой и подписью принимающего лица выдается работнику Школы для подтверждения принятия и регистрации сведений.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3.2. Лицо, ответственное за работу по профилактике коррупционных правонарушений </w:t>
      </w:r>
      <w:r w:rsidRPr="00ED37E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ED37E4">
        <w:rPr>
          <w:rFonts w:ascii="Times New Roman" w:hAnsi="Times New Roman"/>
          <w:color w:val="000000" w:themeColor="text1"/>
          <w:sz w:val="24"/>
          <w:szCs w:val="24"/>
        </w:rPr>
        <w:t>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3.3. Регистрация представленного уведомления производится в журнале учета уведомлений о фактах обращения в целях склонения работника Школы к совершению коррупционных правонарушений (далее – Журнал учета) по форме согласно приложению 2 к настоящему Положению.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Журнал учета оформляется и ведется в </w:t>
      </w:r>
      <w:r w:rsidRPr="00ED37E4">
        <w:rPr>
          <w:rFonts w:ascii="Times New Roman" w:hAnsi="Times New Roman"/>
          <w:i/>
          <w:color w:val="000000" w:themeColor="text1"/>
          <w:sz w:val="24"/>
          <w:szCs w:val="24"/>
        </w:rPr>
        <w:t>Школе, хранится</w:t>
      </w: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 в месте, защищенном от несанкционированного доступа.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Школе.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5F4C2A" w:rsidRPr="00ED37E4" w:rsidRDefault="00ED37E4" w:rsidP="00ED37E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 xml:space="preserve">3.4. В нижнем правом углу последнего листа уведомления ставится регистрационная </w:t>
      </w:r>
      <w:r w:rsidRPr="00ED37E4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запись, содержащая:</w:t>
      </w:r>
    </w:p>
    <w:p w:rsidR="005F4C2A" w:rsidRPr="00ED37E4" w:rsidRDefault="00ED37E4" w:rsidP="00ED37E4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входящий номер и дату поступления (в соответствии с записью, внесенной в Журнал учета);</w:t>
      </w:r>
    </w:p>
    <w:p w:rsidR="005F4C2A" w:rsidRPr="00ED37E4" w:rsidRDefault="00ED37E4" w:rsidP="00ED37E4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7E4">
        <w:rPr>
          <w:rFonts w:ascii="Times New Roman" w:hAnsi="Times New Roman"/>
          <w:color w:val="000000" w:themeColor="text1"/>
          <w:sz w:val="24"/>
          <w:szCs w:val="24"/>
        </w:rPr>
        <w:t>подпись и расшифровку фамилии лица, зарегистрировавшего уведомление.</w:t>
      </w: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органов.</w:t>
      </w:r>
    </w:p>
    <w:p w:rsidR="005F4C2A" w:rsidRPr="00ED37E4" w:rsidRDefault="00ED37E4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ED37E4">
        <w:rPr>
          <w:color w:val="000000" w:themeColor="text1"/>
          <w:szCs w:val="24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5F4C2A" w:rsidRPr="00ED37E4" w:rsidRDefault="005F4C2A" w:rsidP="00ED37E4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</w:p>
    <w:p w:rsidR="005F4C2A" w:rsidRPr="00ED37E4" w:rsidRDefault="00ED37E4" w:rsidP="00ED37E4">
      <w:pPr>
        <w:pStyle w:val="Default"/>
        <w:spacing w:line="276" w:lineRule="auto"/>
        <w:ind w:firstLine="709"/>
        <w:jc w:val="center"/>
        <w:rPr>
          <w:b/>
          <w:color w:val="000000" w:themeColor="text1"/>
          <w:szCs w:val="24"/>
        </w:rPr>
      </w:pPr>
      <w:r w:rsidRPr="00ED37E4">
        <w:rPr>
          <w:b/>
          <w:color w:val="000000" w:themeColor="text1"/>
          <w:szCs w:val="24"/>
        </w:rPr>
        <w:t>4. Порядок организации и проведения проверки сведений, содержащихся в уведомлении</w:t>
      </w:r>
    </w:p>
    <w:p w:rsidR="005F4C2A" w:rsidRPr="00ED37E4" w:rsidRDefault="005F4C2A" w:rsidP="00ED37E4">
      <w:pPr>
        <w:pStyle w:val="Default"/>
        <w:spacing w:line="276" w:lineRule="auto"/>
        <w:ind w:firstLine="709"/>
        <w:rPr>
          <w:b/>
          <w:color w:val="000000" w:themeColor="text1"/>
          <w:szCs w:val="24"/>
        </w:rPr>
      </w:pP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color w:val="000000" w:themeColor="text1"/>
          <w:sz w:val="24"/>
          <w:szCs w:val="24"/>
        </w:rPr>
        <w:t xml:space="preserve">4.1. После регистрации уведомление в течение рабочего дня передается для рассмотрения руководителю Школы. 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sz w:val="24"/>
          <w:szCs w:val="24"/>
        </w:rPr>
        <w:t xml:space="preserve">4.2. Проверка содержащихся в уведомлении сведений осуществляется  путем направления уведомлений в органы прокуратуры Российской Федерации, МВД России, ФСБ России, проведения бесед с работником учреждения, подавшим уведомление, указанным в уведомлении, получения от работника учреждения пояснения по сведениям, изложенным в уведомлении. 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sz w:val="24"/>
          <w:szCs w:val="24"/>
        </w:rPr>
        <w:t xml:space="preserve">2.11. Уведомление направляется в органы прокуратуры Российской Федерации, МВД России, ФСБ России не позднее 10 дней </w:t>
      </w:r>
      <w:proofErr w:type="gramStart"/>
      <w:r w:rsidRPr="00ED37E4">
        <w:rPr>
          <w:sz w:val="24"/>
          <w:szCs w:val="24"/>
        </w:rPr>
        <w:t>с даты</w:t>
      </w:r>
      <w:proofErr w:type="gramEnd"/>
      <w:r w:rsidRPr="00ED37E4">
        <w:rPr>
          <w:sz w:val="24"/>
          <w:szCs w:val="24"/>
        </w:rPr>
        <w:t xml:space="preserve"> его регистрации в журнале. По решению руководителя учреждения уведомление может направляться как одновременно во все перечисленные государственные органы, так и в один из них по компетенции. 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 </w:t>
      </w:r>
    </w:p>
    <w:p w:rsidR="005F4C2A" w:rsidRPr="00ED37E4" w:rsidRDefault="00ED37E4" w:rsidP="00ED37E4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D37E4">
        <w:rPr>
          <w:sz w:val="24"/>
          <w:szCs w:val="24"/>
        </w:rPr>
        <w:t xml:space="preserve">2.12. Работник учреждения, которому стало известно о факте обращения к иным работнику учреждения в связи с исполнением служебных обязанностей каких-либо лиц в целях склонения их к совершению коррупционных правонарушений, вправе уведомлять об этом руководителя учреждения в настоящем порядке. </w:t>
      </w:r>
    </w:p>
    <w:p w:rsidR="005F4C2A" w:rsidRDefault="00ED37E4" w:rsidP="00ED37E4">
      <w:pPr>
        <w:spacing w:line="276" w:lineRule="auto"/>
        <w:ind w:firstLine="709"/>
        <w:jc w:val="both"/>
        <w:rPr>
          <w:color w:val="000000" w:themeColor="text1"/>
        </w:rPr>
      </w:pPr>
      <w:r w:rsidRPr="00ED37E4">
        <w:rPr>
          <w:sz w:val="24"/>
          <w:szCs w:val="24"/>
        </w:rPr>
        <w:t xml:space="preserve">2.13. </w:t>
      </w:r>
      <w:proofErr w:type="gramStart"/>
      <w:r w:rsidRPr="00ED37E4">
        <w:rPr>
          <w:sz w:val="24"/>
          <w:szCs w:val="24"/>
        </w:rPr>
        <w:t>Проверка сведений о случаях обращения к работнику учреждения 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законодательством Российской Федерации.</w:t>
      </w:r>
      <w:r>
        <w:t xml:space="preserve"> </w:t>
      </w:r>
      <w:r>
        <w:rPr>
          <w:color w:val="000000" w:themeColor="text1"/>
        </w:rPr>
        <w:br w:type="page"/>
      </w:r>
      <w:proofErr w:type="gramEnd"/>
    </w:p>
    <w:p w:rsidR="005F4C2A" w:rsidRDefault="00ED37E4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Положению о порядке уведомления 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руководителя о фактах обращения в целях склонения 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совершению коррупционных правонарушений </w:t>
      </w:r>
    </w:p>
    <w:p w:rsidR="005F4C2A" w:rsidRDefault="005F4C2A">
      <w:pPr>
        <w:jc w:val="right"/>
        <w:rPr>
          <w:color w:val="000000" w:themeColor="text1"/>
        </w:rPr>
      </w:pP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5F4C2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F4C2A" w:rsidRDefault="005F4C2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4C2A" w:rsidRDefault="00ED37E4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_____________________________________</w:t>
            </w:r>
            <w:r>
              <w:rPr>
                <w:color w:val="000000" w:themeColor="text1"/>
              </w:rPr>
              <w:t xml:space="preserve"> </w:t>
            </w:r>
          </w:p>
          <w:p w:rsidR="005F4C2A" w:rsidRDefault="00ED37E4">
            <w:pPr>
              <w:pStyle w:val="Default"/>
              <w:jc w:val="center"/>
              <w:rPr>
                <w:color w:val="000000" w:themeColor="text1"/>
                <w:sz w:val="16"/>
                <w:vertAlign w:val="superscript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      (наименование должности руководителя</w:t>
            </w:r>
            <w:r>
              <w:rPr>
                <w:color w:val="000000" w:themeColor="text1"/>
                <w:sz w:val="16"/>
                <w:vertAlign w:val="superscript"/>
              </w:rPr>
              <w:t>)</w:t>
            </w:r>
          </w:p>
          <w:p w:rsidR="005F4C2A" w:rsidRDefault="00ED37E4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5F4C2A" w:rsidRDefault="00ED37E4">
            <w:pPr>
              <w:pStyle w:val="Default"/>
              <w:jc w:val="center"/>
              <w:rPr>
                <w:color w:val="000000" w:themeColor="text1"/>
                <w:sz w:val="26"/>
                <w:vertAlign w:val="superscript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(ФИО)</w:t>
            </w:r>
          </w:p>
          <w:p w:rsidR="005F4C2A" w:rsidRDefault="00ED37E4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___________________________________</w:t>
            </w:r>
          </w:p>
          <w:p w:rsidR="005F4C2A" w:rsidRDefault="00ED37E4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5F4C2A" w:rsidRDefault="00ED37E4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5F4C2A" w:rsidRDefault="005F4C2A">
      <w:pPr>
        <w:jc w:val="right"/>
        <w:rPr>
          <w:color w:val="000000" w:themeColor="text1"/>
        </w:rPr>
      </w:pPr>
    </w:p>
    <w:p w:rsidR="005F4C2A" w:rsidRDefault="00ED37E4">
      <w:pPr>
        <w:rPr>
          <w:b/>
          <w:color w:val="000000" w:themeColor="text1"/>
        </w:rPr>
      </w:pPr>
      <w:r>
        <w:rPr>
          <w:b/>
          <w:color w:val="000000" w:themeColor="text1"/>
        </w:rPr>
        <w:t>УВЕДОМЛЕНИЕ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фактах обращения в целях склонения  работника  к совершению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коррупционных правонарушений</w:t>
      </w:r>
    </w:p>
    <w:p w:rsidR="005F4C2A" w:rsidRDefault="005F4C2A">
      <w:pPr>
        <w:jc w:val="right"/>
        <w:rPr>
          <w:color w:val="000000" w:themeColor="text1"/>
        </w:rPr>
      </w:pP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 Уведомляю о факте обращения в целях склонения меня к </w:t>
      </w:r>
      <w:proofErr w:type="gramStart"/>
      <w:r>
        <w:rPr>
          <w:rFonts w:ascii="Times New Roman" w:hAnsi="Times New Roman"/>
          <w:color w:val="000000" w:themeColor="text1"/>
          <w:sz w:val="28"/>
        </w:rPr>
        <w:t>коррупционному</w:t>
      </w:r>
      <w:proofErr w:type="gramEnd"/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правонарушению (далее - склонение к правонарушению) со стороны___________________________________________________________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 правонарушению)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2.  Склонение к правонарушению производилось в целях осуществления мною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(указывается сущность предполагаемого правонарушения)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(способ склонения: подкуп, угроза, обман и т.д.)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4.   Выгода,   преследуемая   работником МОБУ СОШ № 30, предполагаемые последствия _____________________________________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5. Склонение к правонарушению произошло в __ час</w:t>
      </w:r>
      <w:proofErr w:type="gramStart"/>
      <w:r>
        <w:rPr>
          <w:rFonts w:ascii="Times New Roman" w:hAnsi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м</w:t>
      </w:r>
      <w:proofErr w:type="gramEnd"/>
      <w:r>
        <w:rPr>
          <w:rFonts w:ascii="Times New Roman" w:hAnsi="Times New Roman"/>
          <w:color w:val="000000" w:themeColor="text1"/>
          <w:sz w:val="28"/>
        </w:rPr>
        <w:t>ин.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"__"_________ 20__ г. в _________________________________________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6. Склонение к правонарушению производилось ______________________________________________________________</w:t>
      </w:r>
    </w:p>
    <w:p w:rsidR="005F4C2A" w:rsidRDefault="00ED37E4">
      <w:pPr>
        <w:pStyle w:val="ConsPlusNonforma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5F4C2A" w:rsidRDefault="00ED37E4">
      <w:pPr>
        <w:pStyle w:val="ConsPlusNonformat"/>
        <w:ind w:right="-5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8.  </w:t>
      </w:r>
      <w:proofErr w:type="gramStart"/>
      <w:r>
        <w:rPr>
          <w:rFonts w:ascii="Times New Roman" w:hAnsi="Times New Roman"/>
          <w:color w:val="000000" w:themeColor="text1"/>
          <w:sz w:val="28"/>
        </w:rPr>
        <w:t>Для  разбирательства  по  существу  представляют  интерес следующие</w:t>
      </w:r>
      <w:proofErr w:type="gramEnd"/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сведения: _________________________________________________________________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                                     _________</w:t>
      </w:r>
    </w:p>
    <w:p w:rsidR="005F4C2A" w:rsidRDefault="00ED37E4">
      <w:pPr>
        <w:pStyle w:val="ConsPlusNonformat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5F4C2A" w:rsidRDefault="005F4C2A">
      <w:pPr>
        <w:pStyle w:val="ConsPlusNormal"/>
        <w:jc w:val="both"/>
        <w:rPr>
          <w:rFonts w:ascii="Times New Roman" w:hAnsi="Times New Roman"/>
          <w:color w:val="000000" w:themeColor="text1"/>
        </w:rPr>
      </w:pPr>
    </w:p>
    <w:p w:rsidR="005F4C2A" w:rsidRDefault="00ED37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5F4C2A" w:rsidRDefault="005F4C2A">
      <w:pPr>
        <w:ind w:firstLine="709"/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ED37E4">
      <w:pPr>
        <w:jc w:val="both"/>
        <w:rPr>
          <w:color w:val="000000" w:themeColor="text1"/>
        </w:rPr>
      </w:pPr>
      <w:r>
        <w:rPr>
          <w:color w:val="000000" w:themeColor="text1"/>
        </w:rPr>
        <w:t>«__» _________ 20__ г. ____________  _________________________________</w:t>
      </w:r>
    </w:p>
    <w:p w:rsidR="005F4C2A" w:rsidRDefault="005F4C2A">
      <w:pPr>
        <w:jc w:val="both"/>
        <w:rPr>
          <w:color w:val="000000" w:themeColor="text1"/>
        </w:rPr>
      </w:pPr>
    </w:p>
    <w:p w:rsidR="005F4C2A" w:rsidRDefault="00ED37E4">
      <w:pPr>
        <w:ind w:left="3540" w:firstLine="708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(подпись, ФИО)</w:t>
      </w:r>
    </w:p>
    <w:p w:rsidR="005F4C2A" w:rsidRDefault="00ED37E4">
      <w:pPr>
        <w:jc w:val="both"/>
        <w:rPr>
          <w:color w:val="000000" w:themeColor="text1"/>
        </w:rPr>
      </w:pPr>
      <w:r>
        <w:rPr>
          <w:color w:val="000000" w:themeColor="text1"/>
        </w:rPr>
        <w:t>Уведомление зарегистрировано «__» _____________ 20__г.</w:t>
      </w:r>
    </w:p>
    <w:p w:rsidR="005F4C2A" w:rsidRDefault="00ED37E4">
      <w:pPr>
        <w:jc w:val="both"/>
        <w:rPr>
          <w:color w:val="000000" w:themeColor="text1"/>
        </w:rPr>
      </w:pPr>
      <w:r>
        <w:rPr>
          <w:color w:val="000000" w:themeColor="text1"/>
        </w:rPr>
        <w:t>Регистрационный № __________________</w:t>
      </w:r>
    </w:p>
    <w:p w:rsidR="005F4C2A" w:rsidRDefault="00ED37E4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</w:t>
      </w:r>
    </w:p>
    <w:p w:rsidR="005F4C2A" w:rsidRDefault="00ED37E4">
      <w:pPr>
        <w:ind w:firstLine="708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(подпись, ФИО, должность специалиста)</w:t>
      </w:r>
    </w:p>
    <w:p w:rsidR="005F4C2A" w:rsidRDefault="005F4C2A">
      <w:pPr>
        <w:sectPr w:rsidR="005F4C2A">
          <w:pgSz w:w="11906" w:h="16838"/>
          <w:pgMar w:top="1134" w:right="849" w:bottom="851" w:left="1560" w:header="708" w:footer="708" w:gutter="0"/>
          <w:cols w:space="720"/>
        </w:sectPr>
      </w:pPr>
    </w:p>
    <w:p w:rsidR="005F4C2A" w:rsidRDefault="00ED37E4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Положению о порядке уведомления 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руководителя о фактах обращения в целях склонения </w:t>
      </w:r>
    </w:p>
    <w:p w:rsidR="005F4C2A" w:rsidRDefault="00ED37E4">
      <w:pPr>
        <w:pStyle w:val="Default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 совершению коррупционных правонарушений </w:t>
      </w:r>
    </w:p>
    <w:p w:rsidR="005F4C2A" w:rsidRDefault="005F4C2A">
      <w:pPr>
        <w:jc w:val="right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ED37E4">
      <w:pPr>
        <w:rPr>
          <w:b/>
          <w:color w:val="000000" w:themeColor="text1"/>
        </w:rPr>
      </w:pPr>
      <w:r>
        <w:rPr>
          <w:b/>
          <w:color w:val="000000" w:themeColor="text1"/>
        </w:rPr>
        <w:t>ЖУРНАЛ УЧЕТА УВЕДОМЛЕНИЙ</w:t>
      </w:r>
    </w:p>
    <w:p w:rsidR="005F4C2A" w:rsidRDefault="00ED37E4">
      <w:pPr>
        <w:pStyle w:val="Default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о фактах обращения в целях склонения работников </w:t>
      </w:r>
      <w:r w:rsidRPr="00ED37E4">
        <w:rPr>
          <w:b/>
          <w:color w:val="000000" w:themeColor="text1"/>
          <w:sz w:val="28"/>
        </w:rPr>
        <w:t>МОБУ СОШ № 30</w:t>
      </w:r>
    </w:p>
    <w:p w:rsidR="005F4C2A" w:rsidRDefault="00ED37E4">
      <w:pPr>
        <w:pStyle w:val="Default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 совершению коррупционных правонарушений</w:t>
      </w:r>
    </w:p>
    <w:p w:rsidR="005F4C2A" w:rsidRDefault="005F4C2A">
      <w:pPr>
        <w:pStyle w:val="Default"/>
        <w:jc w:val="center"/>
        <w:rPr>
          <w:b/>
          <w:color w:val="000000" w:themeColor="text1"/>
          <w:sz w:val="28"/>
        </w:rPr>
      </w:pPr>
    </w:p>
    <w:p w:rsidR="005F4C2A" w:rsidRDefault="005F4C2A">
      <w:pPr>
        <w:pStyle w:val="Default"/>
        <w:jc w:val="center"/>
        <w:rPr>
          <w:b/>
          <w:color w:val="000000" w:themeColor="text1"/>
          <w:sz w:val="28"/>
        </w:rPr>
      </w:pPr>
    </w:p>
    <w:tbl>
      <w:tblPr>
        <w:tblStyle w:val="af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5F4C2A">
        <w:tc>
          <w:tcPr>
            <w:tcW w:w="567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№ </w:t>
            </w:r>
            <w:proofErr w:type="gramStart"/>
            <w:r>
              <w:rPr>
                <w:color w:val="000000" w:themeColor="text1"/>
                <w:sz w:val="24"/>
              </w:rPr>
              <w:t>п</w:t>
            </w:r>
            <w:proofErr w:type="gramEnd"/>
            <w:r>
              <w:rPr>
                <w:color w:val="000000" w:themeColor="text1"/>
                <w:sz w:val="24"/>
              </w:rPr>
              <w:t>/п</w:t>
            </w:r>
          </w:p>
        </w:tc>
        <w:tc>
          <w:tcPr>
            <w:tcW w:w="1560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Регистра-</w:t>
            </w:r>
            <w:proofErr w:type="spellStart"/>
            <w:r>
              <w:rPr>
                <w:color w:val="000000" w:themeColor="text1"/>
                <w:sz w:val="24"/>
              </w:rPr>
              <w:t>ционный</w:t>
            </w:r>
            <w:proofErr w:type="spellEnd"/>
            <w:proofErr w:type="gramEnd"/>
            <w:r>
              <w:rPr>
                <w:color w:val="000000" w:themeColor="text1"/>
                <w:sz w:val="24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5F4C2A" w:rsidRDefault="00ED37E4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Подпись лица, принявшего уведомление</w:t>
            </w:r>
          </w:p>
        </w:tc>
      </w:tr>
      <w:tr w:rsidR="005F4C2A">
        <w:tc>
          <w:tcPr>
            <w:tcW w:w="567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5F4C2A" w:rsidRDefault="00ED37E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</w:t>
            </w:r>
          </w:p>
        </w:tc>
      </w:tr>
      <w:tr w:rsidR="005F4C2A">
        <w:tc>
          <w:tcPr>
            <w:tcW w:w="567" w:type="dxa"/>
          </w:tcPr>
          <w:p w:rsidR="005F4C2A" w:rsidRDefault="00ED37E4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1560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5F4C2A">
        <w:tc>
          <w:tcPr>
            <w:tcW w:w="567" w:type="dxa"/>
          </w:tcPr>
          <w:p w:rsidR="005F4C2A" w:rsidRDefault="00ED37E4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1560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5F4C2A">
        <w:tc>
          <w:tcPr>
            <w:tcW w:w="567" w:type="dxa"/>
          </w:tcPr>
          <w:p w:rsidR="005F4C2A" w:rsidRDefault="00ED37E4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1560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55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F4C2A" w:rsidRDefault="005F4C2A">
            <w:pPr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jc w:val="both"/>
        <w:rPr>
          <w:color w:val="000000" w:themeColor="text1"/>
        </w:rPr>
      </w:pPr>
    </w:p>
    <w:p w:rsidR="005F4C2A" w:rsidRDefault="005F4C2A">
      <w:pPr>
        <w:ind w:firstLine="708"/>
        <w:jc w:val="both"/>
        <w:rPr>
          <w:color w:val="000000" w:themeColor="text1"/>
        </w:rPr>
      </w:pPr>
    </w:p>
    <w:sectPr w:rsidR="005F4C2A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127"/>
    <w:multiLevelType w:val="multilevel"/>
    <w:tmpl w:val="0D001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7EF"/>
    <w:multiLevelType w:val="multilevel"/>
    <w:tmpl w:val="305A520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7E5307A"/>
    <w:multiLevelType w:val="multilevel"/>
    <w:tmpl w:val="C5700B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F4C2A"/>
    <w:rsid w:val="005F4C2A"/>
    <w:rsid w:val="00671CE3"/>
    <w:rsid w:val="009B3456"/>
    <w:rsid w:val="00A02D45"/>
    <w:rsid w:val="00E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  <w:jc w:val="left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annotation subject"/>
    <w:basedOn w:val="a3"/>
    <w:next w:val="a3"/>
    <w:link w:val="aa"/>
    <w:rPr>
      <w:b/>
    </w:rPr>
  </w:style>
  <w:style w:type="character" w:customStyle="1" w:styleId="aa">
    <w:name w:val="Тема примечания Знак"/>
    <w:basedOn w:val="a4"/>
    <w:link w:val="a9"/>
    <w:rPr>
      <w:rFonts w:ascii="Times New Roman" w:hAnsi="Times New Roman"/>
      <w:b/>
      <w:sz w:val="20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  <w:jc w:val="left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annotation subject"/>
    <w:basedOn w:val="a3"/>
    <w:next w:val="a3"/>
    <w:link w:val="aa"/>
    <w:rPr>
      <w:b/>
    </w:rPr>
  </w:style>
  <w:style w:type="character" w:customStyle="1" w:styleId="aa">
    <w:name w:val="Тема примечания Знак"/>
    <w:basedOn w:val="a4"/>
    <w:link w:val="a9"/>
    <w:rPr>
      <w:rFonts w:ascii="Times New Roman" w:hAnsi="Times New Roman"/>
      <w:b/>
      <w:sz w:val="20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3</cp:revision>
  <dcterms:created xsi:type="dcterms:W3CDTF">2025-01-23T05:45:00Z</dcterms:created>
  <dcterms:modified xsi:type="dcterms:W3CDTF">2025-01-23T13:41:00Z</dcterms:modified>
</cp:coreProperties>
</file>